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83" w:rsidRDefault="00EA4C83" w:rsidP="00EA4C83">
      <w:pPr>
        <w:jc w:val="center"/>
      </w:pPr>
      <w:r>
        <w:rPr>
          <w:noProof/>
          <w:lang w:eastAsia="pt-BR"/>
        </w:rPr>
        <w:drawing>
          <wp:inline distT="0" distB="0" distL="0" distR="0" wp14:anchorId="6EE1B870" wp14:editId="646D8F34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C83" w:rsidRDefault="00EA4C83" w:rsidP="00EA4C83">
      <w:pPr>
        <w:jc w:val="center"/>
      </w:pPr>
    </w:p>
    <w:p w:rsidR="00EA4C83" w:rsidRDefault="00EA4C83" w:rsidP="00EA4C8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EA4C83" w:rsidRDefault="00EA4C83" w:rsidP="00EA4C8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EA4C83" w:rsidRPr="002378C1" w:rsidRDefault="00EA4C83" w:rsidP="00EA4C8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EA4C83" w:rsidRDefault="00EA4C83" w:rsidP="00EA4C8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EA4C83" w:rsidRDefault="00EA4C83" w:rsidP="00EA4C8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PROVIMENTO CGJ nº 12/2016</w:t>
      </w:r>
    </w:p>
    <w:p w:rsidR="00EA4C83" w:rsidRDefault="00EA4C83" w:rsidP="00EA4C8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A4C83" w:rsidRDefault="00EA4C83" w:rsidP="00EA4C8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EA4C83">
        <w:rPr>
          <w:b/>
          <w:noProof/>
          <w:lang w:eastAsia="pt-BR"/>
        </w:rPr>
        <w:t>Regulamenta as alterações introduzidas a Lei 3.350/1999, pela Lei Estadual nº 7.128/2015 e altera a Portaria CGJ nº 4.593/2015, que atualizou as Tabelas de Emolumentos para o ano de 2016.</w:t>
      </w:r>
    </w:p>
    <w:p w:rsidR="00483C7F" w:rsidRDefault="00483C7F" w:rsidP="00EA4C8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483C7F" w:rsidRDefault="00483C7F" w:rsidP="00EA4C8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bookmarkStart w:id="0" w:name="_GoBack"/>
      <w:bookmarkEnd w:id="0"/>
    </w:p>
    <w:p w:rsidR="00483C7F" w:rsidRPr="009676AB" w:rsidRDefault="00483C7F" w:rsidP="00483C7F">
      <w:pPr>
        <w:jc w:val="center"/>
        <w:rPr>
          <w:rFonts w:cs="Arial"/>
          <w:b/>
          <w:szCs w:val="18"/>
        </w:rPr>
      </w:pPr>
      <w:r w:rsidRPr="009676AB">
        <w:rPr>
          <w:rFonts w:cs="Arial"/>
          <w:b/>
          <w:szCs w:val="18"/>
        </w:rPr>
        <w:t xml:space="preserve">TABELA 04 (Tabela 19 </w:t>
      </w:r>
      <w:r w:rsidRPr="009676AB">
        <w:rPr>
          <w:rFonts w:cs="Arial"/>
          <w:b/>
          <w:szCs w:val="18"/>
        </w:rPr>
        <w:noBreakHyphen/>
        <w:t xml:space="preserve"> Lei 6370/12)</w:t>
      </w:r>
    </w:p>
    <w:p w:rsidR="00483C7F" w:rsidRPr="009676AB" w:rsidRDefault="00483C7F" w:rsidP="00483C7F">
      <w:pPr>
        <w:jc w:val="center"/>
        <w:rPr>
          <w:rFonts w:cs="Arial"/>
          <w:b/>
          <w:szCs w:val="18"/>
        </w:rPr>
      </w:pPr>
      <w:r w:rsidRPr="009676AB">
        <w:rPr>
          <w:rFonts w:cs="Arial"/>
          <w:b/>
          <w:szCs w:val="18"/>
        </w:rPr>
        <w:t>DOS REGISTROS DE DISTRIBUIÇÃO</w:t>
      </w:r>
    </w:p>
    <w:p w:rsidR="00483C7F" w:rsidRPr="009676AB" w:rsidRDefault="00483C7F" w:rsidP="00483C7F">
      <w:pPr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4"/>
        <w:gridCol w:w="758"/>
        <w:gridCol w:w="908"/>
        <w:gridCol w:w="1054"/>
      </w:tblGrid>
      <w:tr w:rsidR="00483C7F" w:rsidRPr="009676AB" w:rsidTr="00622429">
        <w:trPr>
          <w:trHeight w:val="57"/>
        </w:trPr>
        <w:tc>
          <w:tcPr>
            <w:tcW w:w="3403" w:type="pct"/>
          </w:tcPr>
          <w:p w:rsidR="00483C7F" w:rsidRPr="009676AB" w:rsidRDefault="00483C7F" w:rsidP="00622429">
            <w:pPr>
              <w:jc w:val="center"/>
              <w:rPr>
                <w:rFonts w:cs="Arial"/>
                <w:b/>
                <w:szCs w:val="18"/>
              </w:rPr>
            </w:pPr>
          </w:p>
          <w:p w:rsidR="00483C7F" w:rsidRPr="009676AB" w:rsidRDefault="00483C7F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ATOS</w:t>
            </w:r>
          </w:p>
        </w:tc>
        <w:tc>
          <w:tcPr>
            <w:tcW w:w="445" w:type="pct"/>
          </w:tcPr>
          <w:p w:rsidR="00483C7F" w:rsidRPr="009676AB" w:rsidRDefault="00483C7F" w:rsidP="00622429">
            <w:pPr>
              <w:jc w:val="center"/>
              <w:rPr>
                <w:rFonts w:cs="Arial"/>
                <w:b/>
                <w:szCs w:val="18"/>
              </w:rPr>
            </w:pPr>
          </w:p>
          <w:p w:rsidR="00483C7F" w:rsidRPr="009676AB" w:rsidRDefault="00483C7F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R$</w:t>
            </w:r>
          </w:p>
        </w:tc>
        <w:tc>
          <w:tcPr>
            <w:tcW w:w="533" w:type="pct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Atos Gratuitos e PMCMV (2%)</w:t>
            </w:r>
          </w:p>
        </w:tc>
        <w:tc>
          <w:tcPr>
            <w:tcW w:w="619" w:type="pct"/>
          </w:tcPr>
          <w:p w:rsidR="00483C7F" w:rsidRPr="009676AB" w:rsidRDefault="00483C7F" w:rsidP="00622429">
            <w:pPr>
              <w:jc w:val="center"/>
              <w:rPr>
                <w:rFonts w:cs="Arial"/>
                <w:b/>
                <w:szCs w:val="18"/>
              </w:rPr>
            </w:pPr>
          </w:p>
          <w:p w:rsidR="00483C7F" w:rsidRPr="009676AB" w:rsidRDefault="00483C7F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TOTAL</w:t>
            </w:r>
          </w:p>
        </w:tc>
      </w:tr>
      <w:tr w:rsidR="00483C7F" w:rsidRPr="009676AB" w:rsidTr="00622429">
        <w:trPr>
          <w:trHeight w:val="57"/>
        </w:trPr>
        <w:tc>
          <w:tcPr>
            <w:tcW w:w="3403" w:type="pct"/>
            <w:hideMark/>
          </w:tcPr>
          <w:p w:rsidR="00483C7F" w:rsidRPr="009676AB" w:rsidRDefault="00483C7F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3. Cancelamento/baixa no registro de ação ou feito ajuizado e da distribuição de ato notarial</w:t>
            </w:r>
          </w:p>
        </w:tc>
        <w:tc>
          <w:tcPr>
            <w:tcW w:w="445" w:type="pct"/>
            <w:vAlign w:val="center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32,49</w:t>
            </w:r>
          </w:p>
        </w:tc>
        <w:tc>
          <w:tcPr>
            <w:tcW w:w="533" w:type="pct"/>
            <w:vAlign w:val="center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0,64</w:t>
            </w:r>
          </w:p>
        </w:tc>
        <w:tc>
          <w:tcPr>
            <w:tcW w:w="619" w:type="pct"/>
            <w:vAlign w:val="center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33,13</w:t>
            </w:r>
          </w:p>
        </w:tc>
      </w:tr>
      <w:tr w:rsidR="00483C7F" w:rsidRPr="009676AB" w:rsidTr="00622429">
        <w:trPr>
          <w:trHeight w:val="57"/>
        </w:trPr>
        <w:tc>
          <w:tcPr>
            <w:tcW w:w="3403" w:type="pct"/>
            <w:hideMark/>
          </w:tcPr>
          <w:p w:rsidR="00483C7F" w:rsidRPr="009676AB" w:rsidRDefault="00483C7F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 xml:space="preserve">6. Registro de ação ou feito ajuizado, por nome, inclusive o do autor, incluindo posterior retificação, averbação, redistribuição, exclusão e inclusão. </w:t>
            </w:r>
          </w:p>
        </w:tc>
        <w:tc>
          <w:tcPr>
            <w:tcW w:w="445" w:type="pct"/>
            <w:vAlign w:val="center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32,49</w:t>
            </w:r>
          </w:p>
        </w:tc>
        <w:tc>
          <w:tcPr>
            <w:tcW w:w="533" w:type="pct"/>
            <w:vAlign w:val="center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0,64</w:t>
            </w:r>
          </w:p>
        </w:tc>
        <w:tc>
          <w:tcPr>
            <w:tcW w:w="619" w:type="pct"/>
            <w:vAlign w:val="center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33,13</w:t>
            </w:r>
          </w:p>
        </w:tc>
      </w:tr>
      <w:tr w:rsidR="00483C7F" w:rsidRPr="009676AB" w:rsidTr="00622429">
        <w:trPr>
          <w:trHeight w:val="57"/>
        </w:trPr>
        <w:tc>
          <w:tcPr>
            <w:tcW w:w="3403" w:type="pct"/>
            <w:hideMark/>
          </w:tcPr>
          <w:p w:rsidR="00483C7F" w:rsidRPr="009676AB" w:rsidRDefault="00483C7F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7. Por nome excedente (a partir do 3º nome)</w:t>
            </w:r>
          </w:p>
        </w:tc>
        <w:tc>
          <w:tcPr>
            <w:tcW w:w="445" w:type="pct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0,87</w:t>
            </w:r>
          </w:p>
        </w:tc>
        <w:tc>
          <w:tcPr>
            <w:tcW w:w="533" w:type="pct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0,01</w:t>
            </w:r>
          </w:p>
        </w:tc>
        <w:tc>
          <w:tcPr>
            <w:tcW w:w="619" w:type="pct"/>
            <w:hideMark/>
          </w:tcPr>
          <w:p w:rsidR="00483C7F" w:rsidRPr="009676AB" w:rsidRDefault="00483C7F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0,88</w:t>
            </w:r>
          </w:p>
        </w:tc>
      </w:tr>
      <w:tr w:rsidR="00483C7F" w:rsidRPr="009676AB" w:rsidTr="00622429">
        <w:trPr>
          <w:trHeight w:val="57"/>
        </w:trPr>
        <w:tc>
          <w:tcPr>
            <w:tcW w:w="5000" w:type="pct"/>
            <w:gridSpan w:val="4"/>
            <w:hideMark/>
          </w:tcPr>
          <w:p w:rsidR="00483C7F" w:rsidRPr="009676AB" w:rsidRDefault="00483C7F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NOTAS INTEGRANTES:</w:t>
            </w:r>
          </w:p>
          <w:p w:rsidR="00483C7F" w:rsidRPr="009676AB" w:rsidRDefault="00483C7F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7</w:t>
            </w:r>
            <w:proofErr w:type="gramEnd"/>
            <w:r w:rsidRPr="009676AB">
              <w:rPr>
                <w:rFonts w:cs="Arial"/>
                <w:szCs w:val="18"/>
              </w:rPr>
              <w:t>) Não incidirá a cobrança de emolumentos ou acréscimos legais sobre as certidões de registro da distribuição de feitos judiciais requeridas para defesa de direitos, nas hipóteses do art. 5°, XXXIV, b, da Constituição Federal e Lei Federal nº. 9.501/1995, ressalvadas as de cunho eminentemente negociais.</w:t>
            </w:r>
          </w:p>
          <w:p w:rsidR="00483C7F" w:rsidRPr="009676AB" w:rsidRDefault="00483C7F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8</w:t>
            </w:r>
            <w:proofErr w:type="gramEnd"/>
            <w:r w:rsidRPr="009676AB">
              <w:rPr>
                <w:rFonts w:cs="Arial"/>
                <w:szCs w:val="18"/>
              </w:rPr>
              <w:t xml:space="preserve">) Em razão do princípio da equanimidade, os valores dos emolumentos devidos pelo atos previstos nos itens 3, 6 e 7 da tabela 04 (tabela 19 </w:t>
            </w:r>
            <w:r w:rsidRPr="009676AB">
              <w:rPr>
                <w:rFonts w:cs="Arial"/>
                <w:szCs w:val="18"/>
              </w:rPr>
              <w:noBreakHyphen/>
              <w:t xml:space="preserve"> Lei 6370/12) serão apurados após a </w:t>
            </w:r>
            <w:r w:rsidRPr="009676AB">
              <w:rPr>
                <w:rFonts w:cs="Arial"/>
                <w:szCs w:val="18"/>
              </w:rPr>
              <w:lastRenderedPageBreak/>
              <w:t>totalização diária dos valores recebidos e divididos pelo número de serviços com mesma atribuição na comarca.</w:t>
            </w:r>
          </w:p>
          <w:p w:rsidR="00483C7F" w:rsidRPr="009676AB" w:rsidRDefault="00483C7F" w:rsidP="00622429">
            <w:pPr>
              <w:rPr>
                <w:rFonts w:cs="Arial"/>
                <w:szCs w:val="18"/>
              </w:rPr>
            </w:pPr>
            <w:proofErr w:type="gramStart"/>
            <w:r w:rsidRPr="009676AB">
              <w:rPr>
                <w:rFonts w:cs="Arial"/>
                <w:szCs w:val="18"/>
              </w:rPr>
              <w:t>9</w:t>
            </w:r>
            <w:proofErr w:type="gramEnd"/>
            <w:r w:rsidRPr="009676AB">
              <w:rPr>
                <w:rFonts w:cs="Arial"/>
                <w:szCs w:val="18"/>
              </w:rPr>
              <w:t>) aplica</w:t>
            </w:r>
            <w:r w:rsidRPr="009676AB">
              <w:rPr>
                <w:rFonts w:cs="Arial"/>
                <w:szCs w:val="18"/>
              </w:rPr>
              <w:noBreakHyphen/>
              <w:t>se a redução prevista no item 7 da presente tabela, a partir do terceiro nome, no registro de distribuição dos feitos judiciais previstos no item 6.</w:t>
            </w:r>
          </w:p>
        </w:tc>
      </w:tr>
    </w:tbl>
    <w:p w:rsidR="00CD1BE5" w:rsidRDefault="00483C7F"/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83"/>
    <w:rsid w:val="000C59BC"/>
    <w:rsid w:val="00345FB6"/>
    <w:rsid w:val="00483C7F"/>
    <w:rsid w:val="00870EAE"/>
    <w:rsid w:val="00EA4C83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2016-03-07T18:25:00Z</dcterms:created>
  <dcterms:modified xsi:type="dcterms:W3CDTF">2016-03-07T18:25:00Z</dcterms:modified>
</cp:coreProperties>
</file>